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2015/105 vom 12. September 2017</w:t>
      </w:r>
    </w:p>
    <w:p>
      <w:r>
        <w:t>Sg Versicherungsgericht, 2017-09-12, DE</w:t>
      </w:r>
    </w:p>
    <w:p>
      <w:r>
        <w:rPr>
          <w:b/>
        </w:rPr>
        <w:t xml:space="preserve">Quelle: </w:t>
      </w:r>
      <w:r>
        <w:t>https://mcp.opencaselaw.ch/entscheid/sg_publikationen_IV 2015_105</w:t>
      </w:r>
    </w:p>
    <w:p>
      <w:r>
        <w:t>FR: SG_VERSICHERUNGSGERICHT IV 2015/105 du 12 septembre 2017</w:t>
      </w:r>
    </w:p>
    <w:p>
      <w:r>
        <w:t>IT: SG_VERSICHERUNGSGERICHT IV 2015/105 del 12 settembre 2017</w:t>
      </w:r>
    </w:p>
    <w:p>
      <w:pPr>
        <w:pStyle w:val="Heading2"/>
      </w:pPr>
      <w:r>
        <w:t>Regeste</w:t>
      </w:r>
    </w:p>
    <w:p>
      <w:r>
        <w:t>Art. 28 IVG. Rentenanspruch. Wiederanmeldung. Beweiswürdigung Gutachten. Gutachterlich bescheinigte 75%ige Arbeitsfähigkeit beweiskräftig. Abweisung (Entscheid des Versicherungsgerichts des Kantons St. Gallen vom 12. September 2017, IV 2015/105).</w:t>
      </w:r>
    </w:p>
    <w:p>
      <w:pPr>
        <w:pStyle w:val="Heading2"/>
      </w:pPr>
      <w:r>
        <w:t>Erwägungen</w:t>
      </w:r>
    </w:p>
    <w:p>
      <w:r>
        <w:rPr>
          <w:b/>
        </w:rPr>
        <w:t>E. 1</w:t>
      </w:r>
    </w:p>
    <w:p>
      <w:r>
        <w:t>Zwischen den Parteien umstritten und nachfolgend zu prüfen ist der von der Beschwerdeführerin am 27. April 2009 (wieder) angemeldete Rentenanspruch (IV-act. 68). Gemäss Art. 29 Abs. 1 des Bundesgesetzes über die Invalidenversicherung (IVG; SR 831.20) entsteht der Rentenanspruch frühestens nach Ablauf von sechs Monaten nach der Geltendmachung des Leistungsanspruchs. Vorliegend ist daher ein Rentenanspruch ab Oktober 2009 zu prüfen. 1.1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Zunächst ist die zwischen den Parteien umstrittene Frage zu beurteilen, ob der Sachverhalt in medizinischer Hinsicht spruchreif ist. Die Beschwerdegegnerin stützte die angefochtene Verfügung im Wesentlichen auf das MEDAS-Gutachten vom 10. Januar 2013 (IV-act. 204, vgl. IV-act. 151). Die Beschwerdeführerin spricht diesem die Beweiskraft ab (act. G 1, G12). 2.1  Soweit die Beschwerdeführerin rügt, das MEDAS-Gutachten sei nicht verwertbar, da es sich nicht ausführlich mit dem AEH Gutachten von 2006 auseinandersetze, ist dies für das vorliegende Verfahren nicht von Belang. Da vorliegend eine Wiederanmeldung und nicht ein Rentenrevisionsgesuch zu beurteilen ist, sind die Bestimmungen zur Revision (Art. 17 ATSG) nicht massgebend. Es ist also nicht zu prüfen, ob seit der rentenabweisenden Verfügung vom 4. Mai 2007 (vgl. IV-act. 61) eine wesentliche Änderung in den tatsächlichen Verhältnissen eingetreten ist, die geeignet ist, den Invaliditätsgrad und damit den Rentenanspruch zu beeinflussen (vgl. Entscheid des Versicherungsgerichts St. Gallen vom 6. Juni 2017, IV 2014/476 E. 1, abrufbar unter www.gerichte.sg.ch, Dienstleistungen, Rechtsprechung, Versicherungsgericht). 2.2  Die Beschwerdeführerin führt aus, der rheumatologische MEDAS-Teilgutachter Dr. med. M.___, Facharzt FMH für Rheumatologie, habe festgehalten, der gesundheitliche Zustand habe sich gegenüber 2006 verbessert und die Wurzelirritation L5 und S1 sei heute nicht mehr möglich, weil die Beschwerdeführerin schon bei der AEH-Begutachtung 2006 ein Gegenspannen gezeigt habe. Sie macht geltend, das Gegenspannen sei nicht grundlos, sondern hänge mit der Vermeidung von Schmerzen durch Bewegungen bei der Begutachtung zusammen. Die Einschätzung von Dr. M.___ sei damit nicht nachvollziehbar (act. G1). Entgegen diesen Ausführungen vermerkte Dr. M.___ zwar ein Gegenspannen der Beschwerdeführerin während seiner Begutachtung, unterstellte jedoch nicht, dieses Verhalten sei grundlos. Er schloss lediglich, aufgrund der durch das Gegenspannen stark erschwerten körperlichen Untersuchung müsse die Beurteilung der zumutbaren Belastungstoleranz vor allem auf den bildgebenden Dokumentationen mit kernspintomographischen Verlaufsaufnahmen abgestützt werden. Beim Vergleich mit dem AEH-Gutachten von 2006 stellte er sodann fest, die Untersuchungsresultate stimmten im Wesentlichen überein, die Arbeitsfähigkeitsschätzung sei jedoch nicht mehr zutreffend (IV-act. 151-22 f.). Sodann geht auch die Kritik der Beschwerdeführerin, wonach ein Widerspruch zwischen den als somatische Diagnosen mit wesentlicher Einschränkung der zumutbaren Arbeitsfähigkeit aufgeführten chronifizierten panvertebrogenen Beschwerden (vgl. IV-act. 151-12) und der Arbeitsfähigkeitsschätzung bestehe (act. G1), fehl. Dr. M.___ berücksichtigte die genannte Einschränkung bei seiner Beurteilung und hielt eine häufig stehende Tätigkeit mit vornüber geneigter Arbeitsposition als nur zu 60% zumutbar. Zu 100% zumutbar erachtete er dagegen eine adaptierte leichte bis mittelschwere Tätigkeit, die in wechselnder, jedoch häufiger in sitzender Arbeitsposition ausgeübt werden könnte (IV-act. 151-23). Damit trug er den physischen Einschränkungen der Beschwerdeführerin genügend Rechnung. 2.3  Wie die Beschwerdeführerin geltend macht (act. G1), trifft es zwar zu, dass erst nach Vorliegen des MEDAS-Gutachtens vom 10. Januar 2013 Dr. K.___ im Mai 2014 ein schwergradiges obstruktives Schlaf-Apnoe-Syndrom diagnostizierte (IV-act. 170). Ein dringender Verdacht auf ein solches äusserte jedoch bereits Dr. G.___ mit Bericht vom 8. Januar 2010 (IV-act. 92-4), was den MEDAS-Gutachtern bekannt war (vgl. IV-act. 151-5) und somit mindestens implizit berücksichtigt wurde. Dass das Schlaf-Apnoe-Syndrom im Gutachten keine weitere Beachtung fand bzw. nicht explizit in der Beurteilung erwähnt wurde, ist insofern nicht problematisch, als Dr. K.___ am 6. November 2014 zwar in allgemeiner, nicht erkennbar auf die Beschwerdeführerin bezogener Weise das erhöhte Risiko für kardiovaskuläre bzw. zerebrovaskuläre Morbidität bzw. Mortalität bei unbehandelter Schlaf-Apnoe erwähnte, das Syndrom jedoch als Diagnose ohne Auswirkung auf die Arbeitsfähigkeit auflistete (IV-act. 187-1). Am 3. November 2014 hatte Dr. K.___ zudem ausgeführt, die vermehrte Tagesmüdigkeit sei wahrscheinlich multifaktoriell zusammen mit der Depression erklärbar. Unter konsequenter CPAP-Therapie würde aus schlafmedizinischer Sicht grundsätzlich eine normale Arbeitsfähigkeit bestehen. Ohne Therapie führe das Schlaf-Apnoe-Syndrom zu einer Arbeitsunfähigkeit im Personentransport bzw. beim Führen von grossen Maschinen (IV-act. 187-6 f.). Selbst nach Abbruch der CPAP-Therapie (vgl. IV-act. 187-2) hat das Schlaf-Apnoe-Syndrom damit keine relevanten Auswirkungen auf die Arbeitsfähigkeit der Beschwerdeführerin, zumal diese ohnehin nicht Auto fahren kann (vgl. act. G12, S. 4). 2.4  Weiter stellt die Beschwerdeführerin das psychiatrische Teilgutachten von Dr. med. N.___, FMH für Psychiatrie und Psychotherapie, in Frage (act. G1, vgl. IV-act. 151-26 ff.). 2.4.1      Entgegen der Kritik der Beschwerdeführerin (act. G1) ging Dr. N.___ in der Anamnese auf wichtige Ereignisse und Belastungspunkte in ihrem Leben ein, so insbesondere auf den Tod ihrer Eltern, die Umstände der Heirat, den Umzug in die Schweiz, die Kinder und die berufliche Tätigkeit (IV-act. 151-28). Die Problematik der langen Kinderlosigkeit (vgl. act. G1, IV-act. 130) blieb im Gutachten von Dr. N.___ unerwähnt, hatte aber auch den psychiatrischen ABI-Gutachter, der die Zeiträume und die vor der Geburt der Tochter erlittenen Fehlgeburten erwähnt hatte, nicht dazu bewogen, eine Diagnose zu stellen, welche sich auf die Arbeitsfähigkeit auswirkte (IV-act. 110-15 ff.). Weiter ist festzuhalten, dass konkretisierbare Hinweise auf eine durch die lange Kinderlosigkeit ausgelöste Selbstwertproblematik und Schuld- und Schamgefühle, die Dr. B.___ erwähnt hatte (IV-act. 130-1), nicht vorliegen. Vor allem aber ist nicht ersichtlich und wird von der Beschwerdeführerin auch nicht erläutert, wie diese Umstände geeignet sein sollten, viele Jahre nach der Geburt zweier gesunder Kinder eine psychische Erkrankung zu begünstigen bzw. sich negativ auf die Arbeitsfähigkeit auszuwirken. Dr. N.___ führte aus, komplexere Fragestellungen hätten die Beschwerdeführerin aufgrund der bescheidenen Introspektionsfähigkeit sofort überfordert. Es finden sich jedoch keine Hinweise darauf, dass er, wie von der Beschwerdeführerin beanstandet (act. G1, G12), seine Befragung nicht daran angepasst hätte. Im Gegenteil gab Dr. N.___ an, die Beschwerdeführerin habe die übersetzten Fragen zu einfachen Inhalten ohne Probleme verstanden (IV-act. 151-29). Dr. B.___ erhob im Wesentlichen die gleichen Lebensumstände wie Dr. N.___ und hielt fest, die Persönlichkeit der Beschwerdeführerin sei einfach strukturiert (vgl. IV-act. 127), diagnostizierte aber im Gegensatz zu Dr. N.___ eine rezidivierende depressive Störung, gegenwärtig mittelgradige Episode mit somatischen Symptomen (ICD-10: F33.11) (IV-act. 159, 127). Wie RAD-Arzt J.___ am 14.  Juli 2014 (vgl. IV-act. 161) jedoch richtig ausführte, wurde diese Diagnose neben Dr. N.___ auch durch das ABI-Gutachten nicht bestätigt (vgl. IV-act. 110, IV-act. 151-31) und deren permanentes Vorhandensein damit widerlegt. Damit ist auch die von Dr. B.___ attestierte 50%ige Arbeitsunfähigkeit nicht nachvollziehbar, zumal er die Einschränkungen nicht konkret begründet (IV-act. 159, 188). Im Übrigen fällt auf, dass er noch vor Behandlungsbeginn bei ihm als durch die IV-Stelle beauftragter Gutachter weder Diagnosen mit Krankheitswert noch eine Arbeitsunfähigkeit attestierte (IV-act. 38) und eine seit 2006 eingetretene doch wesentliche Verschlechterung durch seine Ausführungen nach Behandlungsbeginn nicht nachvollziehbar begründet wird. Die Diskrepanz der Diagnosen erklärt sodann auch die Ausführungen von Dr. N.___ (IV-act. 151-33) und dem ABI (vgl. IV-act. 110-26), wonach bei der auf Veranlassung des ABI durchgeführten Blutspiegelkontrolle subtherapeutische Werte der eingenommenen Psychopharmaka festgestellt worden seien, was auf eine mangelnde Compliance schliessen lasse und weshalb die subjektiv massiv eingeschränkte Leistungsfähigkeit sehr kritisch zu hinterfragen sei (IV-act. 110-26, bei der MEDAS-Begutachtung war nur noch teilweise eine subtherapeutische Dosierung festgestellt worden; vgl. IV-act. 151-13). Dies zumal das ABI am 7. Februar 2012 erklärte, die klinische Erfahrung zeige, dass depressive Menschen Antidepressiva regelmässig einnähmen, da sie von deren Wirkung bei zu vernachlässigenden Nebenwirkungen doch sehr profitierten. Aus der Tatsache, dass die Beschwerdeführerin die Psychopharmaka nicht regelmässig einnehme, könne geschlossen werden, dass sie sich subjektiv nicht als besonders depressiv einschätze (IV-act. 122, vgl. Ausführungen von RAD-Arzt J.___ in IV-act. 161-3). 2.4.2      Bezüglich der Kritik der Beschwerdeführerin, wonach Dr. N.___ sich zu sehr mit den somatischen Beschwerden beschäftigt habe (act. G1), ist festzuhalten, dass er sich diesbezüglich nur insofern äusserte, als er auf träge Bewegungen der Beschwerdeführerin, deren Sitzposition und fehlende averbale Schmerzäusserungen hinwies (IV-act. 151-29). Dies diente wohl vor allem dem Zweck, allfällige Inkonsistenzen sowie Hinweise auf eine Symptomausweitung, herabgesetzte Schmerzschwelle oder Selbstlimitierung feststellen zu können, und ist damit nicht zu beanstanden. Die von Dr. N.___ festgehaltene eingeschränkte Arbeitsfähigkeit infolge erhöhten Pausenbedarfs ist denn auch nicht bzw. höchstens teilweise somatisch bedingt, sondern erklärt sich laut seinen Einschätzungen durch die persönlichkeitsbedingt bzw. psychosomatisch begründete Trägheit und die langsamere Arbeitsweise der Beschwerdeführerin (IV-act. 151-33). 2.4.3      Entgegen den Ausführungen der Beschwerdeführerin (act. G1) und von Dr. B.___ (IV-act. 159) ist es sodann nicht widersprüchlich, dass Dr. N.___ einerseits eine Dysthymie diagnostizierte und andererseits festhielt, einzelne, sich nicht auf die Arbeitsfähigkeit auswirkende depressive Phasen seien nicht ausgeschlossen (IV-act. 151-31). Wie RAD-Arzt J.___ nachvollziehbar erklärte, gibt es sogenannte Double-Depression-Zustände, in denen zu der dysthymen Störung zusätzlich depressive Episoden auftreten können (IV-act. 161-3). 2.5  Schliesslich kritisiert die Beschwerdeführerin die Beurteilung der Zumutbarkeit der Schmerzüberwindung (act. G1). 2.5.1      Dr. N.___ diagnostizierte eine chronische Schmerzstörung mit somatischen und psychischen Faktoren (ICD-10: F45.41; IV-act. 151-31). Das MEDAS-Gutachten wurde am 10. Januar 2013 ausgefertigt. Der psychiatrische Teilgutachter Dr. N.___ diskutierte darin die vom Bundesgericht für die Arbeitsfähigkeitsbeurteilung von somatoformen Schmerzstörungen und vergleichbaren Beschwerdebildern als massgeblich erachteten Foersterkriterien (IV-act. 151-32 f.; BGE 130 V 352). Seither hat sich allerdings die Praxis des Bundesgerichts zu den pathogenetisch-ätiologisch unklaren syndromalen Beschwerdebildern ohne nachweisbare organische Grundlage erheblich geändert. Mit dem am 3. Juni 2015 gefällten BGE 141 V 281 hat das Bundesgericht die von ihm geschaffene Überwindbarkeitsvermutung und den sich an den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2.5.2      Medizinische Gutachten, die noch nach alter Praxis des Bundesgerichts eingeholt wurden, verlieren nicht per se ihren Beweiswert. Es ist im Einzelfall zu prüfen, ob das betreffende Gutachten, gegebenenfalls im Kontext mit weiteren fachärztlichen Berichten, eine schlüssige Beurteilung im Licht der massgeblichen Indikatoren erlaubt oder nicht, wobei je nach Abklärungstiefe und -dichte eine punktuelle Ergänzung genügen kann. Somit führt ein nach alter Praxis des Bundesgerichts erstattetes Gutachten nicht zwangsläufig zu einer neuen Begutachtung oder anderen abklärungsrechtlichen Weiterungen (vgl. Urteil des Bundesgerichts vom 18. Mai 2017, 8C_842/2017, E. 5.2.1 mit Hinweisen). 2.5.3      MEDAS-Gutachter Dr. N.___ nahm zwar auf die Foersterkriterien Bezug. Er stützte sich jedoch nicht allein auf die Vermutung der Arbeitsfähigkeit bzw. der Überwindbarkeit des Leidens. Vielmehr nahm er im Rahmen einer – wenn sich auch an den Foersterkriterien orientierenden – Beurteilung Stellung zu den Ressourcen und Defiziten der Beschwerdeführerin. Gestützt darauf – und nicht auf der Grundlage der früher vom Bundesgericht aufgestellten Überwindbarkeitsvermutung – nahm er eine Arbeitsfähigkeitsschätzung vor. Er führte aus, ein ausgewiesener sozialer Rückzug habe nicht in allen Belangen des Lebens stattgefunden, die familiären Banden trügen immer noch (vgl. zu sozialen Bindungen IV-act. 151-28, 151-30), und wie schon in den Jahrzenten zuvor sei die Beschwerdeführerin nur mit Privatautos mobil. Gemeinsame Aktivitäten mit ihrem Ehemann beschränkten sich im Wesentlichen auf Wocheneinkäufe, die Freizeit hätten sie aber schon immer mit einfachsten Aktivitäten gestaltet (IV-act. 151-28). Spontanaktivitäten seien ebenfalls schon immer weitgehend unterblieben und kurze Spaziergänge fänden aktuell noch statt. Die Selbstpflege sei nicht eingeschränkt (IV-act. 151-30). Der innerseelische Verlauf sei ohne Zweifel verfestigt, wobei die totale Dekonditionierung und die immer schon minimal vorhandene Motivation und Initiative zu Veränderungen eine entscheidende Rolle spielten. Die praktisch für jeden Behandlungserfolg massgebende Kooperationsbereitschaft sei persönlichkeitsbedingt nur ansatzweise vorhanden (IV-act. 151-33). Die Beschwerdeführerin sei persönlichkeitsbedingt, aufgrund der psychosomatischen Gesamtsituation, wohl träge, arbeite langsamer als die durchschnittlichen Jahrgänger und benötige längere Pausen, was eine minimal reduzierte Arbeitsfähigkeit nach sich ziehe (IV-act. 151-33). Eine psychisch ausgewiesene Komorbidität, welche der Beschwerdeführerin Ressourcen rauben würde (vgl. BGE 141 V 281 E. 4.3.1.3), ist gemäss Dr. N.___ sodann nur sehr bedingt vorhanden (IV-act. 151-33). Insgesamt bestehen demnach keine Mängel an der eingehenden Ressourcenprüfung durch Dr. N.___, weshalb dessen Beurteilung auch nach der neuen Rechtsprechung verwertbar bleibt und auf deren Ergebnisse abzustellen ist. Auf die konkreten Vorbringen der Parteien bezüglich der umstrittenen Überwindbarkeit der Schmerzen (vgl. act. G1, G6, G12) ist infolge der geänderten massgeblichen Rechtsprechung nicht weiter einzugehen. 2.6  Bei der Würdigung der medizinischen Situation fällt weiter ins Gewicht, dass das MEDAS-Gutachten vom 10. Januar 2013 (vgl. IV-act. 151) auf umfassender Aktenkenntnis sowie polydisziplinären eigenen Untersuchungen beruht, das gesamte Leidensbild der Beschwerdeführerin berücksichtigt und die auf dieser Grundlage gezogenen Schlüsse nachvollziehbar sind. Aus den von der Beschwerdeführerin vorgebrachten medizinischen Einschätzungen, insbesondere denjenigen von Dr. B.___, ergeben sich zudem keine objektiven Gesichtspunkte, welche im MEDAS-Gutachten ausser Acht gelassen worden wären. Bereits die ABI-Gutachter waren ausserdem im Wesentlichen zu den gleichen Einschätzungen gekommen und hatten die Beschwerdeführerin in einer adaptierten Tätigkeit auch als zu 75% arbeitsfähig erachtet (IV-act. 110-26). Die Einschränkung hatten sie ebenfalls mit vermehrtem Pausenbedarf begründet, wenn auch vorwiegend aus rheumatologischer Sicht (IV-act. 110-23). Schliesslich ergeben sich aus den Akten auch keine zwischen dem MEDAS-Gutachten vom 10. Januar 2013 und der umstrittenen Verfügung der IV-Stelle vom 27. Februar 2015 (IV-act. 204) eingetretenen massgeblichen Veränderungen mit Auswirkungen auf die Arbeitsfähigkeit (vgl. E. 2.2). Solche lassen sich insbesondere auch dem Austrittsbericht des Spitals H.___ vom 14. August 2014 (vgl. IV-act. 192-3 ff., IV-act. 189, 195) nicht entnehmen. Weitere medizinische Abklärungen erübrigen sich damit.</w:t>
      </w:r>
    </w:p>
    <w:p>
      <w:r>
        <w:rPr>
          <w:b/>
        </w:rPr>
        <w:t>E. 3</w:t>
      </w:r>
    </w:p>
    <w:p>
      <w:r>
        <w:t>Das ausschlaggebende Element der Bemessung des zumutbaren Invalideneinkommens - und damit indirekt des Invaliditätsgrads - ist in aller Regel der Grad der verbliebenen Arbeitsfähigkeit. Die Beschwerdeführerin hat den Beruf der Näherin erlernt, war aber abgesehen von vorübergehender Heimarbeit nie als solche tätig (IV-act. 151-27) und zuletzt als Betriebsmitarbeiterin in einer Batteriefabrik beschäftigt (IV-act. 7 f., 68-5). Sie ist damit als Hilfsarbeiterin einzustufen. Es ist ihr deshalb ohne weiteres zumutbar, im Ausmass ihrer verbliebenen Arbeitsfähigkeit einer Hilfsarbeit nachzugehen. Es muss sich um eine der Behinderung optimal gerecht werdende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der Beschwerdeführerin also nur die Arbeitsunfähigkeit in einer behinderungsadaptierten Hilfsarbeit gemeint sein (vgl. Urteil des Versicherungsgerichts vom 17. August 2012, IV 2010/400 E. 1.1, abrufbar a.a.O.). Ausgehend von einer 100%igen Arbeitstätigkeit in der angestammten Tätigkeit als Hilfsarbeiterin (Fabrikmitarbeiterin) im Validenfall und einer solchen von 75% im Invalidenfall erübrigen sich die Vornahme eines konkreten Einkommensvergleichs und insbesondere die Festsetzung eines Tabellenlohnabzugs, da – vor dem Hintergrund dessen, dass die Beschwerdeführerin stets unterdurchschnittlich verdient hat (IV-act. 7, 113) - kein rentenbegründender Mindestinvaliditätsgrad von 40% resultiert.</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Zufolge Gewährung der unentgeltlichen Rechtspflege (vgl. act. G8, G11) ist sie von der Bezahlung zu befreien. 4.3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erscheint eine pauschale Parteientschädigung von Fr. 3'500.-- angemessen. Diese ist um einen Fünftel zu kürzen (Art. 31 Abs. 3 AnwG). Somit entschädigt der Staat den Rechtsvertreter der Beschwerdeführerin pauschal (vgl. BGE 125 V 201) mit Fr. 2'800.-- (inklusive Barauslagen und Mehrwertsteuer).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im Sinne der Erwägungen von der Bezahlung der Gerichtsgebühr in der Höhe von Fr. 600.-- befreit. 3.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